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color w:val="ff0000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32"/>
          <w:szCs w:val="32"/>
          <w:rtl w:val="0"/>
        </w:rPr>
        <w:t xml:space="preserve">Checklist for a great 10 mark answer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ffffff"/>
                <w:sz w:val="28"/>
                <w:szCs w:val="28"/>
                <w:rtl w:val="0"/>
              </w:rPr>
              <w:t xml:space="preserve">Things we should see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ffffff"/>
                <w:sz w:val="28"/>
                <w:szCs w:val="28"/>
                <w:rtl w:val="0"/>
              </w:rPr>
              <w:t xml:space="preserve">Comments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Are there at least two arguments for each side?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Does the essay include theory/terminology from business management?  List the examples you see.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What references to the case study do you see?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Do the references go beyond just stating the name of the business?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Are these references used to strengthen arguments, or are they more like simple add-ons?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Does the essay show understanding of further possibilities, implications, nuances, or caveats that arise from information in the case study?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Are the arguments logical and convincing?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Does the essay show good balance - i.e., are there caveats, downsides, or other qualifiers that show understanding of the possible nuances or implications of the issues?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8"/>
                <w:szCs w:val="28"/>
                <w:rtl w:val="0"/>
              </w:rPr>
              <w:t xml:space="preserve">Conclusion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Is there a clear conclusion?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oes it elaborate on what were the most compelling reasons that led to that conclusion?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Do you find the conclusion well supported by the analysis throughout the response?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Room for improvement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List the arguments that you do not find very well argued, or not very convincing.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List any misuses of terms, theories, or concepts that you see.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What further terms/concepts/ideas from the business management syllabus could they have used?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